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F5" w:rsidRDefault="00A940F5">
      <w:pPr>
        <w:pStyle w:val="CM15"/>
        <w:spacing w:after="307" w:line="311" w:lineRule="atLeast"/>
        <w:rPr>
          <w:rFonts w:cs="Calibri"/>
          <w:color w:val="000000"/>
          <w:sz w:val="22"/>
          <w:szCs w:val="22"/>
        </w:rPr>
      </w:pPr>
      <w:r>
        <w:rPr>
          <w:rFonts w:cs="Calibri"/>
          <w:b/>
          <w:bCs/>
          <w:color w:val="000000"/>
          <w:sz w:val="22"/>
          <w:szCs w:val="22"/>
          <w:u w:val="single"/>
        </w:rPr>
        <w:t xml:space="preserve">SECTION 23 31 13.16 ---ROUND AND FLAT-OVAL SPIRAL DUCTS AND FITTINGS </w:t>
      </w:r>
    </w:p>
    <w:p w:rsidR="00A940F5" w:rsidRDefault="00C45F00">
      <w:pPr>
        <w:pStyle w:val="CM16"/>
        <w:spacing w:after="547" w:line="311" w:lineRule="atLeast"/>
        <w:ind w:right="255"/>
        <w:rPr>
          <w:rFonts w:cs="Calibri"/>
          <w:color w:val="000000"/>
          <w:sz w:val="22"/>
          <w:szCs w:val="22"/>
        </w:rPr>
      </w:pPr>
      <w:r>
        <w:rPr>
          <w:rFonts w:cs="Calibri"/>
          <w:i/>
          <w:iCs/>
          <w:color w:val="000000"/>
          <w:sz w:val="22"/>
          <w:szCs w:val="22"/>
        </w:rPr>
        <w:t xml:space="preserve">This </w:t>
      </w:r>
      <w:r w:rsidR="00A940F5">
        <w:rPr>
          <w:rFonts w:cs="Calibri"/>
          <w:i/>
          <w:iCs/>
          <w:color w:val="000000"/>
          <w:sz w:val="22"/>
          <w:szCs w:val="22"/>
        </w:rPr>
        <w:t>model specification for spiral duct involves the inclusion of many product applications that may not be a part of a particular pro</w:t>
      </w:r>
      <w:r>
        <w:rPr>
          <w:rFonts w:cs="Calibri"/>
          <w:i/>
          <w:iCs/>
          <w:color w:val="000000"/>
          <w:sz w:val="22"/>
          <w:szCs w:val="22"/>
        </w:rPr>
        <w:t>ject.  It is the intent of Eastern Sheet Metal</w:t>
      </w:r>
      <w:r w:rsidR="00A940F5">
        <w:rPr>
          <w:rFonts w:cs="Calibri"/>
          <w:i/>
          <w:iCs/>
          <w:color w:val="000000"/>
          <w:sz w:val="22"/>
          <w:szCs w:val="22"/>
        </w:rPr>
        <w:t xml:space="preserve"> to offer this model specification with comprehensive product descriptions that are accurate, in accordance with current recognized standards and the practices of </w:t>
      </w:r>
      <w:r>
        <w:rPr>
          <w:rFonts w:cs="Calibri"/>
          <w:i/>
          <w:iCs/>
          <w:color w:val="000000"/>
          <w:sz w:val="22"/>
          <w:szCs w:val="22"/>
        </w:rPr>
        <w:t>Eastern Sheet Metal</w:t>
      </w:r>
      <w:r w:rsidR="00A940F5">
        <w:rPr>
          <w:rFonts w:cs="Calibri"/>
          <w:i/>
          <w:iCs/>
          <w:color w:val="000000"/>
          <w:sz w:val="22"/>
          <w:szCs w:val="22"/>
        </w:rPr>
        <w:t xml:space="preserve">, and in language that is specific to the products and easily understood. Unfortunately, without thoughtful editing of this document to make it relevant to a particular project such a comprehensive document may cause unnecessary confusion.  In order to assist the specification author, we have prepared the following set of guidelines to assist in editing the document. </w:t>
      </w:r>
    </w:p>
    <w:p w:rsidR="00C551E4" w:rsidRDefault="00C551E4">
      <w:pPr>
        <w:pStyle w:val="CM2"/>
        <w:rPr>
          <w:rFonts w:cs="Calibri"/>
          <w:b/>
          <w:bCs/>
          <w:color w:val="000000"/>
          <w:sz w:val="22"/>
          <w:szCs w:val="22"/>
          <w:u w:val="single"/>
        </w:rPr>
      </w:pPr>
      <w:r>
        <w:rPr>
          <w:rFonts w:cs="Calibri"/>
          <w:b/>
          <w:bCs/>
          <w:color w:val="000000"/>
          <w:sz w:val="22"/>
          <w:szCs w:val="22"/>
          <w:u w:val="single"/>
        </w:rPr>
        <w:t xml:space="preserve">Section 1 – “General” </w:t>
      </w:r>
    </w:p>
    <w:p w:rsidR="00C551E4" w:rsidRPr="00C551E4" w:rsidRDefault="00C551E4" w:rsidP="00C551E4">
      <w:pPr>
        <w:pStyle w:val="Default"/>
      </w:pPr>
    </w:p>
    <w:p w:rsidR="00A940F5" w:rsidRDefault="00A940F5">
      <w:pPr>
        <w:pStyle w:val="CM2"/>
        <w:rPr>
          <w:rFonts w:cs="Calibri"/>
          <w:color w:val="000000"/>
          <w:sz w:val="22"/>
          <w:szCs w:val="22"/>
        </w:rPr>
      </w:pPr>
      <w:r>
        <w:rPr>
          <w:rFonts w:cs="Calibri"/>
          <w:b/>
          <w:bCs/>
          <w:color w:val="000000"/>
          <w:sz w:val="22"/>
          <w:szCs w:val="22"/>
          <w:u w:val="single"/>
        </w:rPr>
        <w:t>Section 1.1</w:t>
      </w:r>
      <w:r w:rsidR="00A81459">
        <w:rPr>
          <w:rFonts w:cs="Calibri"/>
          <w:b/>
          <w:bCs/>
          <w:color w:val="000000"/>
          <w:sz w:val="22"/>
          <w:szCs w:val="22"/>
          <w:u w:val="single"/>
        </w:rPr>
        <w:t>.B</w:t>
      </w:r>
      <w:r>
        <w:rPr>
          <w:rFonts w:cs="Calibri"/>
          <w:b/>
          <w:bCs/>
          <w:color w:val="000000"/>
          <w:sz w:val="22"/>
          <w:szCs w:val="22"/>
          <w:u w:val="single"/>
        </w:rPr>
        <w:t xml:space="preserve"> "RELATED DOCUMENTS" </w:t>
      </w:r>
    </w:p>
    <w:p w:rsidR="00A940F5" w:rsidRDefault="00A940F5">
      <w:pPr>
        <w:pStyle w:val="CM15"/>
        <w:spacing w:after="307" w:line="311" w:lineRule="atLeast"/>
        <w:ind w:firstLine="720"/>
        <w:rPr>
          <w:rFonts w:cs="Calibri"/>
          <w:color w:val="000000"/>
          <w:sz w:val="22"/>
          <w:szCs w:val="22"/>
        </w:rPr>
      </w:pPr>
      <w:r>
        <w:rPr>
          <w:rFonts w:cs="Calibri"/>
          <w:i/>
          <w:iCs/>
          <w:color w:val="000000"/>
          <w:sz w:val="22"/>
          <w:szCs w:val="22"/>
        </w:rPr>
        <w:t xml:space="preserve">This section was inserted as an opportunity for the designer to inform the bidder of any special or unusual documents or circumstances that might affect the bid. This section can be removed if such circumstances do not exist. </w:t>
      </w:r>
    </w:p>
    <w:p w:rsidR="00A940F5" w:rsidRDefault="00A940F5">
      <w:pPr>
        <w:pStyle w:val="CM2"/>
        <w:rPr>
          <w:rFonts w:cs="Calibri"/>
          <w:color w:val="000000"/>
          <w:sz w:val="22"/>
          <w:szCs w:val="22"/>
        </w:rPr>
      </w:pPr>
      <w:r>
        <w:rPr>
          <w:rFonts w:cs="Calibri"/>
          <w:b/>
          <w:bCs/>
          <w:color w:val="000000"/>
          <w:sz w:val="22"/>
          <w:szCs w:val="22"/>
          <w:u w:val="single"/>
        </w:rPr>
        <w:t xml:space="preserve">Section 1.2 "SUMMARY" </w:t>
      </w:r>
    </w:p>
    <w:p w:rsidR="00A940F5" w:rsidRDefault="00A940F5">
      <w:pPr>
        <w:pStyle w:val="CM3"/>
        <w:ind w:firstLine="720"/>
        <w:rPr>
          <w:rFonts w:cs="Calibri"/>
          <w:color w:val="000000"/>
          <w:sz w:val="22"/>
          <w:szCs w:val="22"/>
        </w:rPr>
      </w:pPr>
      <w:r>
        <w:rPr>
          <w:rFonts w:cs="Calibri"/>
          <w:b/>
          <w:bCs/>
          <w:color w:val="000000"/>
          <w:sz w:val="22"/>
          <w:szCs w:val="22"/>
          <w:u w:val="single"/>
        </w:rPr>
        <w:t xml:space="preserve">A. "SECTION INCLUDES:" </w:t>
      </w:r>
    </w:p>
    <w:p w:rsidR="00A940F5" w:rsidRDefault="00A81459">
      <w:pPr>
        <w:pStyle w:val="CM15"/>
        <w:spacing w:after="307" w:line="311" w:lineRule="atLeast"/>
        <w:ind w:firstLine="720"/>
        <w:rPr>
          <w:rFonts w:cs="Calibri"/>
          <w:color w:val="000000"/>
          <w:sz w:val="22"/>
          <w:szCs w:val="22"/>
        </w:rPr>
      </w:pPr>
      <w:r>
        <w:rPr>
          <w:rFonts w:cs="Calibri"/>
          <w:i/>
          <w:iCs/>
          <w:color w:val="000000"/>
          <w:sz w:val="22"/>
          <w:szCs w:val="22"/>
        </w:rPr>
        <w:t xml:space="preserve">We have </w:t>
      </w:r>
      <w:r w:rsidR="00A940F5">
        <w:rPr>
          <w:rFonts w:cs="Calibri"/>
          <w:i/>
          <w:iCs/>
          <w:color w:val="000000"/>
          <w:sz w:val="22"/>
          <w:szCs w:val="22"/>
        </w:rPr>
        <w:t>written this section in a manner that describes typical configurations an</w:t>
      </w:r>
      <w:r>
        <w:rPr>
          <w:rFonts w:cs="Calibri"/>
          <w:i/>
          <w:iCs/>
          <w:color w:val="000000"/>
          <w:sz w:val="22"/>
          <w:szCs w:val="22"/>
        </w:rPr>
        <w:t>d applications of round and oval spiral pipe and fittings. In lieu of deleting items in part 2.0 that do not apply to this project we recommend that you call out your requirements in section 4.0 for each system type. This will provide the maximum clarity for all concerned.</w:t>
      </w:r>
    </w:p>
    <w:p w:rsidR="00A940F5" w:rsidRDefault="00A940F5">
      <w:pPr>
        <w:pStyle w:val="CM2"/>
        <w:rPr>
          <w:rFonts w:cs="Calibri"/>
          <w:color w:val="000000"/>
          <w:sz w:val="22"/>
          <w:szCs w:val="22"/>
        </w:rPr>
      </w:pPr>
      <w:r>
        <w:rPr>
          <w:rFonts w:cs="Calibri"/>
          <w:b/>
          <w:bCs/>
          <w:color w:val="000000"/>
          <w:sz w:val="22"/>
          <w:szCs w:val="22"/>
          <w:u w:val="single"/>
        </w:rPr>
        <w:t xml:space="preserve">Section 1.2 "SUMMARY" </w:t>
      </w:r>
    </w:p>
    <w:p w:rsidR="00A940F5" w:rsidRDefault="00A940F5">
      <w:pPr>
        <w:pStyle w:val="Default"/>
        <w:spacing w:line="308" w:lineRule="atLeast"/>
        <w:ind w:left="720"/>
        <w:rPr>
          <w:sz w:val="22"/>
          <w:szCs w:val="22"/>
        </w:rPr>
      </w:pPr>
      <w:proofErr w:type="gramStart"/>
      <w:r>
        <w:rPr>
          <w:b/>
          <w:bCs/>
          <w:sz w:val="22"/>
          <w:szCs w:val="22"/>
          <w:u w:val="single"/>
        </w:rPr>
        <w:t>B.  "</w:t>
      </w:r>
      <w:proofErr w:type="gramEnd"/>
      <w:r>
        <w:rPr>
          <w:b/>
          <w:bCs/>
          <w:sz w:val="22"/>
          <w:szCs w:val="22"/>
          <w:u w:val="single"/>
        </w:rPr>
        <w:t xml:space="preserve">RELATED SECTIONS:" </w:t>
      </w:r>
    </w:p>
    <w:p w:rsidR="00A940F5" w:rsidRDefault="00A940F5">
      <w:pPr>
        <w:pStyle w:val="CM15"/>
        <w:spacing w:after="307" w:line="311" w:lineRule="atLeast"/>
        <w:ind w:right="487" w:firstLine="720"/>
        <w:rPr>
          <w:rFonts w:cs="Calibri"/>
          <w:color w:val="000000"/>
          <w:sz w:val="22"/>
          <w:szCs w:val="22"/>
        </w:rPr>
      </w:pPr>
      <w:r>
        <w:rPr>
          <w:rFonts w:cs="Calibri"/>
          <w:i/>
          <w:iCs/>
          <w:color w:val="000000"/>
          <w:sz w:val="22"/>
          <w:szCs w:val="22"/>
        </w:rPr>
        <w:t xml:space="preserve">In this section other relevant specification sections can be added and irrelevant ones can be removed. </w:t>
      </w:r>
    </w:p>
    <w:p w:rsidR="00A940F5" w:rsidRDefault="00A940F5">
      <w:pPr>
        <w:pStyle w:val="CM2"/>
        <w:rPr>
          <w:rFonts w:cs="Calibri"/>
          <w:color w:val="000000"/>
          <w:sz w:val="22"/>
          <w:szCs w:val="22"/>
        </w:rPr>
      </w:pPr>
      <w:r>
        <w:rPr>
          <w:rFonts w:cs="Calibri"/>
          <w:b/>
          <w:bCs/>
          <w:color w:val="000000"/>
          <w:sz w:val="22"/>
          <w:szCs w:val="22"/>
          <w:u w:val="single"/>
        </w:rPr>
        <w:t xml:space="preserve">Section 1.3 "REFERENCES" </w:t>
      </w:r>
    </w:p>
    <w:p w:rsidR="00A940F5" w:rsidRDefault="00A81459">
      <w:pPr>
        <w:pStyle w:val="CM15"/>
        <w:spacing w:after="307" w:line="311" w:lineRule="atLeast"/>
        <w:ind w:firstLine="720"/>
        <w:rPr>
          <w:rFonts w:cs="Calibri"/>
          <w:color w:val="000000"/>
          <w:sz w:val="22"/>
          <w:szCs w:val="22"/>
        </w:rPr>
      </w:pPr>
      <w:r>
        <w:rPr>
          <w:rFonts w:cs="Calibri"/>
          <w:i/>
          <w:iCs/>
          <w:color w:val="000000"/>
          <w:sz w:val="22"/>
          <w:szCs w:val="22"/>
        </w:rPr>
        <w:t>“</w:t>
      </w:r>
      <w:r w:rsidR="00A940F5">
        <w:rPr>
          <w:rFonts w:cs="Calibri"/>
          <w:i/>
          <w:iCs/>
          <w:color w:val="000000"/>
          <w:sz w:val="22"/>
          <w:szCs w:val="22"/>
        </w:rPr>
        <w:t xml:space="preserve">Codes" should be edited. We have listed here the national codes, along with the date of their latest edition. The author should make edition corrections if necessary and remove references to codes that do not apply in the project's jurisdiction. </w:t>
      </w:r>
    </w:p>
    <w:p w:rsidR="00A940F5" w:rsidRDefault="00A940F5">
      <w:pPr>
        <w:pStyle w:val="CM2"/>
        <w:rPr>
          <w:rFonts w:cs="Calibri"/>
          <w:color w:val="000000"/>
          <w:sz w:val="22"/>
          <w:szCs w:val="22"/>
        </w:rPr>
      </w:pPr>
      <w:r>
        <w:rPr>
          <w:rFonts w:cs="Calibri"/>
          <w:b/>
          <w:bCs/>
          <w:color w:val="000000"/>
          <w:sz w:val="22"/>
          <w:szCs w:val="22"/>
          <w:u w:val="single"/>
        </w:rPr>
        <w:t xml:space="preserve">Section 1.5 "SUBMITTALS" </w:t>
      </w:r>
    </w:p>
    <w:p w:rsidR="00A940F5" w:rsidRDefault="00A940F5">
      <w:pPr>
        <w:pStyle w:val="CM5"/>
        <w:jc w:val="center"/>
        <w:rPr>
          <w:rFonts w:cs="Calibri"/>
          <w:color w:val="000000"/>
          <w:sz w:val="22"/>
          <w:szCs w:val="22"/>
        </w:rPr>
      </w:pPr>
      <w:r>
        <w:rPr>
          <w:rFonts w:cs="Calibri"/>
          <w:i/>
          <w:iCs/>
          <w:color w:val="000000"/>
          <w:sz w:val="22"/>
          <w:szCs w:val="22"/>
        </w:rPr>
        <w:t xml:space="preserve">If LEED certification is not being pursued on the project we recommend the removal of Section </w:t>
      </w:r>
    </w:p>
    <w:p w:rsidR="0023421E" w:rsidRDefault="00A940F5">
      <w:pPr>
        <w:pStyle w:val="CM15"/>
        <w:spacing w:after="307" w:line="311" w:lineRule="atLeast"/>
        <w:rPr>
          <w:rFonts w:cs="Calibri"/>
          <w:i/>
          <w:iCs/>
          <w:color w:val="000000"/>
          <w:sz w:val="22"/>
          <w:szCs w:val="22"/>
        </w:rPr>
      </w:pPr>
      <w:r>
        <w:rPr>
          <w:rFonts w:cs="Calibri"/>
          <w:i/>
          <w:iCs/>
          <w:color w:val="000000"/>
          <w:sz w:val="22"/>
          <w:szCs w:val="22"/>
        </w:rPr>
        <w:t>1.5</w:t>
      </w:r>
      <w:proofErr w:type="gramStart"/>
      <w:r>
        <w:rPr>
          <w:rFonts w:cs="Calibri"/>
          <w:i/>
          <w:iCs/>
          <w:color w:val="000000"/>
          <w:sz w:val="22"/>
          <w:szCs w:val="22"/>
        </w:rPr>
        <w:t>.B</w:t>
      </w:r>
      <w:proofErr w:type="gramEnd"/>
      <w:r>
        <w:rPr>
          <w:rFonts w:cs="Calibri"/>
          <w:i/>
          <w:iCs/>
          <w:color w:val="000000"/>
          <w:sz w:val="22"/>
          <w:szCs w:val="22"/>
        </w:rPr>
        <w:t>. "LEED Submittals".</w:t>
      </w:r>
    </w:p>
    <w:p w:rsidR="00A940F5" w:rsidRDefault="00A940F5">
      <w:pPr>
        <w:pStyle w:val="Default"/>
        <w:rPr>
          <w:rFonts w:cs="Times New Roman"/>
          <w:color w:val="auto"/>
        </w:rPr>
      </w:pPr>
    </w:p>
    <w:p w:rsidR="00A81459" w:rsidRDefault="00A81459">
      <w:pPr>
        <w:pStyle w:val="CM2"/>
        <w:rPr>
          <w:b/>
          <w:bCs/>
          <w:sz w:val="22"/>
          <w:szCs w:val="22"/>
          <w:u w:val="single"/>
        </w:rPr>
      </w:pPr>
    </w:p>
    <w:p w:rsidR="00C551E4" w:rsidRDefault="00C551E4" w:rsidP="00C551E4">
      <w:pPr>
        <w:pStyle w:val="Default"/>
      </w:pPr>
    </w:p>
    <w:p w:rsidR="00C551E4" w:rsidRPr="00C551E4" w:rsidRDefault="00C551E4" w:rsidP="00C551E4">
      <w:pPr>
        <w:pStyle w:val="Default"/>
        <w:rPr>
          <w:sz w:val="22"/>
          <w:szCs w:val="22"/>
        </w:rPr>
      </w:pPr>
    </w:p>
    <w:p w:rsidR="00C551E4" w:rsidRDefault="00C551E4" w:rsidP="00C551E4">
      <w:pPr>
        <w:pStyle w:val="Default"/>
        <w:rPr>
          <w:b/>
          <w:sz w:val="22"/>
          <w:szCs w:val="22"/>
          <w:u w:val="single"/>
        </w:rPr>
      </w:pPr>
      <w:r w:rsidRPr="00C551E4">
        <w:rPr>
          <w:b/>
          <w:sz w:val="22"/>
          <w:szCs w:val="22"/>
          <w:u w:val="single"/>
        </w:rPr>
        <w:t xml:space="preserve">Section 2 “Products” </w:t>
      </w:r>
    </w:p>
    <w:p w:rsidR="004D0FCC" w:rsidRDefault="004D0FCC" w:rsidP="00C551E4">
      <w:pPr>
        <w:pStyle w:val="Default"/>
        <w:rPr>
          <w:b/>
          <w:sz w:val="22"/>
          <w:szCs w:val="22"/>
          <w:u w:val="single"/>
        </w:rPr>
      </w:pPr>
    </w:p>
    <w:p w:rsidR="004D0FCC" w:rsidRDefault="004D0FCC" w:rsidP="00C551E4">
      <w:pPr>
        <w:pStyle w:val="Default"/>
        <w:rPr>
          <w:b/>
          <w:sz w:val="22"/>
          <w:szCs w:val="22"/>
          <w:u w:val="single"/>
        </w:rPr>
      </w:pPr>
      <w:r>
        <w:rPr>
          <w:b/>
          <w:sz w:val="22"/>
          <w:szCs w:val="22"/>
          <w:u w:val="single"/>
        </w:rPr>
        <w:t>2.1</w:t>
      </w:r>
      <w:proofErr w:type="gramStart"/>
      <w:r>
        <w:rPr>
          <w:b/>
          <w:sz w:val="22"/>
          <w:szCs w:val="22"/>
          <w:u w:val="single"/>
        </w:rPr>
        <w:t>.B</w:t>
      </w:r>
      <w:proofErr w:type="gramEnd"/>
      <w:r>
        <w:rPr>
          <w:b/>
          <w:sz w:val="22"/>
          <w:szCs w:val="22"/>
          <w:u w:val="single"/>
        </w:rPr>
        <w:t xml:space="preserve"> “Sealing”</w:t>
      </w:r>
    </w:p>
    <w:p w:rsidR="004D0FCC" w:rsidRPr="004D0FCC" w:rsidRDefault="004D0FCC" w:rsidP="00C551E4">
      <w:pPr>
        <w:pStyle w:val="Default"/>
        <w:rPr>
          <w:i/>
          <w:sz w:val="22"/>
          <w:szCs w:val="22"/>
        </w:rPr>
      </w:pPr>
      <w:r>
        <w:rPr>
          <w:i/>
          <w:sz w:val="22"/>
          <w:szCs w:val="22"/>
        </w:rPr>
        <w:tab/>
        <w:t xml:space="preserve">This section requires sealing beyond </w:t>
      </w:r>
      <w:r w:rsidR="00396CD7">
        <w:rPr>
          <w:i/>
          <w:sz w:val="22"/>
          <w:szCs w:val="22"/>
        </w:rPr>
        <w:t xml:space="preserve">SMANCA Class A. SMACNA does not require the sealing of screws. This section anticipates that all screws will be sealed. </w:t>
      </w:r>
    </w:p>
    <w:p w:rsidR="00C551E4" w:rsidRDefault="00C551E4" w:rsidP="00C551E4">
      <w:pPr>
        <w:pStyle w:val="Default"/>
        <w:rPr>
          <w:b/>
          <w:sz w:val="22"/>
          <w:szCs w:val="22"/>
          <w:u w:val="single"/>
        </w:rPr>
      </w:pPr>
    </w:p>
    <w:p w:rsidR="00C551E4" w:rsidRDefault="00C551E4" w:rsidP="00C551E4">
      <w:pPr>
        <w:pStyle w:val="Default"/>
        <w:rPr>
          <w:sz w:val="22"/>
          <w:szCs w:val="22"/>
        </w:rPr>
      </w:pPr>
      <w:r>
        <w:rPr>
          <w:b/>
          <w:sz w:val="22"/>
          <w:szCs w:val="22"/>
          <w:u w:val="single"/>
        </w:rPr>
        <w:t>2.</w:t>
      </w:r>
      <w:r w:rsidR="00A909A6">
        <w:rPr>
          <w:b/>
          <w:sz w:val="22"/>
          <w:szCs w:val="22"/>
          <w:u w:val="single"/>
        </w:rPr>
        <w:t>1</w:t>
      </w:r>
      <w:proofErr w:type="gramStart"/>
      <w:r w:rsidR="00A909A6">
        <w:rPr>
          <w:b/>
          <w:sz w:val="22"/>
          <w:szCs w:val="22"/>
          <w:u w:val="single"/>
        </w:rPr>
        <w:t>.K</w:t>
      </w:r>
      <w:proofErr w:type="gramEnd"/>
      <w:r w:rsidR="00A909A6">
        <w:rPr>
          <w:b/>
          <w:sz w:val="22"/>
          <w:szCs w:val="22"/>
          <w:u w:val="single"/>
        </w:rPr>
        <w:t xml:space="preserve"> “Duct Cleanliness” </w:t>
      </w:r>
    </w:p>
    <w:p w:rsidR="00C4031C" w:rsidRDefault="00A909A6" w:rsidP="00C551E4">
      <w:pPr>
        <w:pStyle w:val="Default"/>
        <w:rPr>
          <w:i/>
          <w:sz w:val="22"/>
          <w:szCs w:val="22"/>
        </w:rPr>
      </w:pPr>
      <w:r>
        <w:rPr>
          <w:sz w:val="22"/>
          <w:szCs w:val="22"/>
        </w:rPr>
        <w:tab/>
      </w:r>
      <w:r w:rsidR="00C4031C">
        <w:rPr>
          <w:i/>
          <w:sz w:val="22"/>
          <w:szCs w:val="22"/>
        </w:rPr>
        <w:t xml:space="preserve">Basic Cleanliness requires no cleaning or capping of the duct prior to shipment. Intermediate Cleanliness requires duct to be kept covered and dry on the project site and to be cleaned prior to installation. Intermediate Cleanliness is a requirement section 3.8 of this specification. </w:t>
      </w:r>
    </w:p>
    <w:p w:rsidR="00C4031C" w:rsidRDefault="00C4031C" w:rsidP="00C551E4">
      <w:pPr>
        <w:pStyle w:val="Default"/>
        <w:rPr>
          <w:i/>
          <w:sz w:val="22"/>
          <w:szCs w:val="22"/>
        </w:rPr>
      </w:pPr>
      <w:r>
        <w:rPr>
          <w:i/>
          <w:sz w:val="22"/>
          <w:szCs w:val="22"/>
        </w:rPr>
        <w:tab/>
        <w:t xml:space="preserve">SMACNA recognizes an Advanced Level of Cleanliness which requires that </w:t>
      </w:r>
      <w:r w:rsidR="00C401C6">
        <w:rPr>
          <w:i/>
          <w:sz w:val="22"/>
          <w:szCs w:val="22"/>
        </w:rPr>
        <w:t>requires capping/bagging of all duct, but does not address when the duct is to be cleaned. If the engineer wishes to have duct cleaned and wrapped at the factory prior to shipment to the job site it should be spelled out clearly in this section.</w:t>
      </w:r>
      <w:r>
        <w:rPr>
          <w:i/>
          <w:sz w:val="22"/>
          <w:szCs w:val="22"/>
        </w:rPr>
        <w:t xml:space="preserve">  </w:t>
      </w:r>
    </w:p>
    <w:p w:rsidR="00513D4C" w:rsidRDefault="00513D4C" w:rsidP="00C551E4">
      <w:pPr>
        <w:pStyle w:val="Default"/>
        <w:rPr>
          <w:i/>
          <w:sz w:val="22"/>
          <w:szCs w:val="22"/>
        </w:rPr>
      </w:pPr>
    </w:p>
    <w:p w:rsidR="00513D4C" w:rsidRDefault="00513D4C" w:rsidP="00C551E4">
      <w:pPr>
        <w:pStyle w:val="Default"/>
        <w:rPr>
          <w:b/>
          <w:sz w:val="22"/>
          <w:szCs w:val="22"/>
          <w:u w:val="single"/>
        </w:rPr>
      </w:pPr>
      <w:r>
        <w:rPr>
          <w:b/>
          <w:sz w:val="22"/>
          <w:szCs w:val="22"/>
          <w:u w:val="single"/>
        </w:rPr>
        <w:t xml:space="preserve">Section 2.2.A “Sheet Metal” </w:t>
      </w:r>
    </w:p>
    <w:p w:rsidR="00513D4C" w:rsidRPr="00513D4C" w:rsidRDefault="00513D4C" w:rsidP="00C551E4">
      <w:pPr>
        <w:pStyle w:val="Default"/>
        <w:rPr>
          <w:i/>
          <w:sz w:val="22"/>
          <w:szCs w:val="22"/>
        </w:rPr>
      </w:pPr>
      <w:r>
        <w:rPr>
          <w:i/>
          <w:sz w:val="22"/>
          <w:szCs w:val="22"/>
        </w:rPr>
        <w:tab/>
        <w:t>The use of antimicrobial coated steel is not anticipated in this specification. It is not req</w:t>
      </w:r>
      <w:r w:rsidR="00C10558">
        <w:rPr>
          <w:i/>
          <w:sz w:val="22"/>
          <w:szCs w:val="22"/>
        </w:rPr>
        <w:t>uired by ASHRAE 62.1 Section 5.4</w:t>
      </w:r>
      <w:r>
        <w:rPr>
          <w:i/>
          <w:sz w:val="22"/>
          <w:szCs w:val="22"/>
        </w:rPr>
        <w:t>.1.</w:t>
      </w:r>
      <w:r w:rsidR="00C10558">
        <w:rPr>
          <w:i/>
          <w:sz w:val="22"/>
          <w:szCs w:val="22"/>
        </w:rPr>
        <w:t xml:space="preserve"> </w:t>
      </w:r>
      <w:proofErr w:type="gramStart"/>
      <w:r w:rsidR="00C10558">
        <w:rPr>
          <w:i/>
          <w:sz w:val="22"/>
          <w:szCs w:val="22"/>
        </w:rPr>
        <w:t>as</w:t>
      </w:r>
      <w:proofErr w:type="gramEnd"/>
      <w:r w:rsidR="00C10558">
        <w:rPr>
          <w:i/>
          <w:sz w:val="22"/>
          <w:szCs w:val="22"/>
        </w:rPr>
        <w:t xml:space="preserve"> sheet metal is specifically exempted from this requirement</w:t>
      </w:r>
      <w:r>
        <w:rPr>
          <w:i/>
          <w:sz w:val="22"/>
          <w:szCs w:val="22"/>
        </w:rPr>
        <w:t xml:space="preserve"> </w:t>
      </w:r>
    </w:p>
    <w:p w:rsidR="00A909A6" w:rsidRDefault="00A909A6" w:rsidP="00C551E4">
      <w:pPr>
        <w:pStyle w:val="Default"/>
        <w:rPr>
          <w:i/>
          <w:sz w:val="22"/>
          <w:szCs w:val="22"/>
        </w:rPr>
      </w:pPr>
    </w:p>
    <w:p w:rsidR="00A909A6" w:rsidRDefault="00A909A6" w:rsidP="00C551E4">
      <w:pPr>
        <w:pStyle w:val="Default"/>
        <w:rPr>
          <w:b/>
          <w:sz w:val="22"/>
          <w:szCs w:val="22"/>
          <w:u w:val="single"/>
        </w:rPr>
      </w:pPr>
      <w:r>
        <w:rPr>
          <w:b/>
          <w:sz w:val="22"/>
          <w:szCs w:val="22"/>
          <w:u w:val="single"/>
        </w:rPr>
        <w:t>Section 2.2</w:t>
      </w:r>
      <w:r w:rsidR="00513D4C">
        <w:rPr>
          <w:b/>
          <w:sz w:val="22"/>
          <w:szCs w:val="22"/>
          <w:u w:val="single"/>
        </w:rPr>
        <w:t>.C</w:t>
      </w:r>
      <w:r>
        <w:rPr>
          <w:b/>
          <w:sz w:val="22"/>
          <w:szCs w:val="22"/>
          <w:u w:val="single"/>
        </w:rPr>
        <w:t xml:space="preserve"> “Insulation”</w:t>
      </w:r>
    </w:p>
    <w:p w:rsidR="00A909A6" w:rsidRDefault="00A909A6" w:rsidP="00C551E4">
      <w:pPr>
        <w:pStyle w:val="Default"/>
        <w:rPr>
          <w:i/>
          <w:sz w:val="22"/>
          <w:szCs w:val="22"/>
        </w:rPr>
      </w:pPr>
      <w:r>
        <w:rPr>
          <w:sz w:val="22"/>
          <w:szCs w:val="22"/>
        </w:rPr>
        <w:tab/>
      </w:r>
      <w:r>
        <w:rPr>
          <w:i/>
          <w:sz w:val="22"/>
          <w:szCs w:val="22"/>
        </w:rPr>
        <w:t>This section refers only to interior insula</w:t>
      </w:r>
      <w:r w:rsidR="000D0CEB">
        <w:rPr>
          <w:i/>
          <w:sz w:val="22"/>
          <w:szCs w:val="22"/>
        </w:rPr>
        <w:t>tion. External wrapping may also be used</w:t>
      </w:r>
      <w:r>
        <w:rPr>
          <w:i/>
          <w:sz w:val="22"/>
          <w:szCs w:val="22"/>
        </w:rPr>
        <w:t xml:space="preserve"> to satisfy ASHRAE </w:t>
      </w:r>
      <w:r w:rsidR="00513D4C">
        <w:rPr>
          <w:i/>
          <w:sz w:val="22"/>
          <w:szCs w:val="22"/>
        </w:rPr>
        <w:t xml:space="preserve">90.1 section 6.4.4.1.2 </w:t>
      </w:r>
      <w:r>
        <w:rPr>
          <w:i/>
          <w:sz w:val="22"/>
          <w:szCs w:val="22"/>
        </w:rPr>
        <w:t>requirements. Spiral duct and fittings can be internally insulated two ways. The duct can be dual wall with an interstitial insulation of fiberglass, rubber or other insulating material. We recommend fiberglass insulation with a non-fiberglass face as a cost effective way of achieving good thermal and sound</w:t>
      </w:r>
      <w:r w:rsidR="001617DE">
        <w:rPr>
          <w:i/>
          <w:sz w:val="22"/>
          <w:szCs w:val="22"/>
        </w:rPr>
        <w:t xml:space="preserve"> results while minimizing cost. </w:t>
      </w:r>
      <w:r>
        <w:rPr>
          <w:i/>
          <w:sz w:val="22"/>
          <w:szCs w:val="22"/>
        </w:rPr>
        <w:t>You may wish to consider</w:t>
      </w:r>
      <w:r w:rsidR="00513D4C">
        <w:rPr>
          <w:i/>
          <w:sz w:val="22"/>
          <w:szCs w:val="22"/>
        </w:rPr>
        <w:t>, in</w:t>
      </w:r>
      <w:r>
        <w:rPr>
          <w:i/>
          <w:sz w:val="22"/>
          <w:szCs w:val="22"/>
        </w:rPr>
        <w:t xml:space="preserve"> extremely sensitive environments, such as clean rooms, the use of a totally fiber free solution as a flexible closed cell insulation similar to </w:t>
      </w:r>
      <w:proofErr w:type="spellStart"/>
      <w:r>
        <w:rPr>
          <w:i/>
          <w:sz w:val="22"/>
          <w:szCs w:val="22"/>
        </w:rPr>
        <w:t>Armaflex</w:t>
      </w:r>
      <w:proofErr w:type="spellEnd"/>
      <w:r>
        <w:rPr>
          <w:i/>
          <w:sz w:val="22"/>
          <w:szCs w:val="22"/>
        </w:rPr>
        <w:t xml:space="preserve">. </w:t>
      </w:r>
      <w:r w:rsidR="001617DE">
        <w:rPr>
          <w:i/>
          <w:sz w:val="22"/>
          <w:szCs w:val="22"/>
        </w:rPr>
        <w:t xml:space="preserve">We do not recommend the use of unfaced fiberglass insulation </w:t>
      </w:r>
      <w:r w:rsidR="00C10558">
        <w:rPr>
          <w:i/>
          <w:sz w:val="22"/>
          <w:szCs w:val="22"/>
        </w:rPr>
        <w:t xml:space="preserve">in acoustical dual wall spiral duct </w:t>
      </w:r>
      <w:r w:rsidR="001617DE">
        <w:rPr>
          <w:i/>
          <w:sz w:val="22"/>
          <w:szCs w:val="22"/>
        </w:rPr>
        <w:t xml:space="preserve">as this </w:t>
      </w:r>
      <w:r w:rsidR="00C10558">
        <w:rPr>
          <w:i/>
          <w:sz w:val="22"/>
          <w:szCs w:val="22"/>
        </w:rPr>
        <w:t>may</w:t>
      </w:r>
      <w:r w:rsidR="001617DE">
        <w:rPr>
          <w:i/>
          <w:sz w:val="22"/>
          <w:szCs w:val="22"/>
        </w:rPr>
        <w:t xml:space="preserve"> not meet the requirements of ASHRAE </w:t>
      </w:r>
      <w:r w:rsidR="00C10558">
        <w:rPr>
          <w:i/>
          <w:sz w:val="22"/>
          <w:szCs w:val="22"/>
        </w:rPr>
        <w:t>62.1 section 5.4.1 which requires that all surfaces in the airstream, except sheet metal, be tested per ASTM C 1338 or similar test for microbial resistance. An argument can be made that the material behind the perforated inner wall is not in the airstream</w:t>
      </w:r>
      <w:r w:rsidR="000A45B1">
        <w:rPr>
          <w:i/>
          <w:sz w:val="22"/>
          <w:szCs w:val="22"/>
        </w:rPr>
        <w:t xml:space="preserve"> and is not subject to this requirement.</w:t>
      </w:r>
    </w:p>
    <w:p w:rsidR="00A909A6" w:rsidRDefault="00A909A6" w:rsidP="00C551E4">
      <w:pPr>
        <w:pStyle w:val="Default"/>
        <w:rPr>
          <w:i/>
          <w:sz w:val="22"/>
          <w:szCs w:val="22"/>
        </w:rPr>
      </w:pPr>
    </w:p>
    <w:p w:rsidR="00A909A6" w:rsidRPr="00A909A6" w:rsidRDefault="00A909A6" w:rsidP="00C551E4">
      <w:pPr>
        <w:pStyle w:val="Default"/>
        <w:rPr>
          <w:i/>
          <w:sz w:val="22"/>
          <w:szCs w:val="22"/>
        </w:rPr>
      </w:pPr>
      <w:r>
        <w:rPr>
          <w:i/>
          <w:sz w:val="22"/>
          <w:szCs w:val="22"/>
        </w:rPr>
        <w:t xml:space="preserve">For lower velocity applications in duct larger than 12” diameter, single wall duct with a </w:t>
      </w:r>
      <w:r w:rsidR="00C401C6">
        <w:rPr>
          <w:i/>
          <w:sz w:val="22"/>
          <w:szCs w:val="22"/>
        </w:rPr>
        <w:t>grooved</w:t>
      </w:r>
      <w:r>
        <w:rPr>
          <w:i/>
          <w:sz w:val="22"/>
          <w:szCs w:val="22"/>
        </w:rPr>
        <w:t xml:space="preserve"> duct board liner may be a cost effective alternative. </w:t>
      </w:r>
      <w:r w:rsidR="00C401C6">
        <w:rPr>
          <w:i/>
          <w:sz w:val="22"/>
          <w:szCs w:val="22"/>
        </w:rPr>
        <w:t>This material is available with a completely coated face from Johns Manville known as Spiracoustic. Ductboard may also be grooved manually, similar to Owens Corning Quietzone, but because of the potential for erosion w</w:t>
      </w:r>
      <w:r w:rsidR="000A45B1">
        <w:rPr>
          <w:i/>
          <w:sz w:val="22"/>
          <w:szCs w:val="22"/>
        </w:rPr>
        <w:t>e recommend the use of this product only in lower velocity applications.</w:t>
      </w:r>
    </w:p>
    <w:p w:rsidR="00EB4567" w:rsidRDefault="00EB4567" w:rsidP="00C551E4">
      <w:pPr>
        <w:pStyle w:val="Default"/>
        <w:rPr>
          <w:sz w:val="22"/>
          <w:szCs w:val="22"/>
        </w:rPr>
      </w:pPr>
    </w:p>
    <w:p w:rsidR="00EB4567" w:rsidRDefault="00EB4567" w:rsidP="00EB4567">
      <w:pPr>
        <w:pStyle w:val="CM2"/>
        <w:rPr>
          <w:sz w:val="22"/>
          <w:szCs w:val="22"/>
        </w:rPr>
      </w:pPr>
      <w:proofErr w:type="gramStart"/>
      <w:r>
        <w:rPr>
          <w:b/>
          <w:bCs/>
          <w:sz w:val="22"/>
          <w:szCs w:val="22"/>
          <w:u w:val="single"/>
        </w:rPr>
        <w:t>Section 3.8.A.</w:t>
      </w:r>
      <w:proofErr w:type="gramEnd"/>
      <w:r>
        <w:rPr>
          <w:b/>
          <w:bCs/>
          <w:sz w:val="22"/>
          <w:szCs w:val="22"/>
          <w:u w:val="single"/>
        </w:rPr>
        <w:t xml:space="preserve">  "Duct Cleanliness" </w:t>
      </w:r>
    </w:p>
    <w:p w:rsidR="00EB4567" w:rsidRDefault="00EB4567" w:rsidP="00EB4567">
      <w:pPr>
        <w:pStyle w:val="CM15"/>
        <w:spacing w:after="307" w:line="308" w:lineRule="atLeast"/>
        <w:ind w:right="80" w:firstLine="720"/>
        <w:rPr>
          <w:sz w:val="22"/>
          <w:szCs w:val="22"/>
        </w:rPr>
      </w:pPr>
      <w:r>
        <w:rPr>
          <w:rFonts w:cs="Calibri"/>
          <w:i/>
          <w:iCs/>
          <w:sz w:val="22"/>
          <w:szCs w:val="22"/>
        </w:rPr>
        <w:t>This section is not meant to replace section 2.1.K “Duct Cleanliness” but as a compliment. Duct will arrive from the manufacturer in a “Basic” level of cleanliness. The requirement here is to clean duct immediately prior to installation and protecting duct once by closing off openings once installed.</w:t>
      </w:r>
    </w:p>
    <w:p w:rsidR="00A909A6" w:rsidRPr="00A909A6" w:rsidRDefault="00A909A6" w:rsidP="00C551E4">
      <w:pPr>
        <w:pStyle w:val="Default"/>
        <w:rPr>
          <w:i/>
          <w:sz w:val="22"/>
          <w:szCs w:val="22"/>
        </w:rPr>
      </w:pPr>
      <w:r>
        <w:rPr>
          <w:sz w:val="22"/>
          <w:szCs w:val="22"/>
        </w:rPr>
        <w:tab/>
      </w:r>
    </w:p>
    <w:p w:rsidR="00A940F5" w:rsidRDefault="00A940F5">
      <w:pPr>
        <w:pStyle w:val="CM2"/>
        <w:rPr>
          <w:sz w:val="22"/>
          <w:szCs w:val="22"/>
        </w:rPr>
      </w:pPr>
      <w:proofErr w:type="gramStart"/>
      <w:r>
        <w:rPr>
          <w:b/>
          <w:bCs/>
          <w:sz w:val="22"/>
          <w:szCs w:val="22"/>
          <w:u w:val="single"/>
        </w:rPr>
        <w:t>Section 3.8.B.</w:t>
      </w:r>
      <w:proofErr w:type="gramEnd"/>
      <w:r>
        <w:rPr>
          <w:b/>
          <w:bCs/>
          <w:sz w:val="22"/>
          <w:szCs w:val="22"/>
          <w:u w:val="single"/>
        </w:rPr>
        <w:t xml:space="preserve">  "Leakage Tests" </w:t>
      </w:r>
    </w:p>
    <w:p w:rsidR="00A940F5" w:rsidRDefault="00A940F5" w:rsidP="00C45F00">
      <w:pPr>
        <w:pStyle w:val="CM15"/>
        <w:spacing w:after="307" w:line="308" w:lineRule="atLeast"/>
        <w:ind w:right="80" w:firstLine="720"/>
        <w:rPr>
          <w:i/>
          <w:iCs/>
          <w:sz w:val="22"/>
          <w:szCs w:val="22"/>
        </w:rPr>
      </w:pPr>
      <w:r>
        <w:rPr>
          <w:rFonts w:cs="Calibri"/>
          <w:i/>
          <w:iCs/>
          <w:sz w:val="22"/>
          <w:szCs w:val="22"/>
        </w:rPr>
        <w:t xml:space="preserve">This section </w:t>
      </w:r>
      <w:r w:rsidR="006C7365">
        <w:rPr>
          <w:rFonts w:cs="Calibri"/>
          <w:i/>
          <w:iCs/>
          <w:sz w:val="22"/>
          <w:szCs w:val="22"/>
        </w:rPr>
        <w:t>exceeds</w:t>
      </w:r>
      <w:r>
        <w:rPr>
          <w:rFonts w:cs="Calibri"/>
          <w:i/>
          <w:iCs/>
          <w:sz w:val="22"/>
          <w:szCs w:val="22"/>
        </w:rPr>
        <w:t xml:space="preserve"> the current recommendation of ASHRAE for required leakage testing as d</w:t>
      </w:r>
      <w:r w:rsidR="004900BA">
        <w:rPr>
          <w:rFonts w:cs="Calibri"/>
          <w:i/>
          <w:iCs/>
          <w:sz w:val="22"/>
          <w:szCs w:val="22"/>
        </w:rPr>
        <w:t xml:space="preserve">escribed </w:t>
      </w:r>
      <w:r w:rsidR="006C7365">
        <w:rPr>
          <w:rFonts w:cs="Calibri"/>
          <w:i/>
          <w:iCs/>
          <w:sz w:val="22"/>
          <w:szCs w:val="22"/>
        </w:rPr>
        <w:lastRenderedPageBreak/>
        <w:t>in Standard 90.1-2010. All duct systems, not just those exceeding 3”WG are subject to testing,</w:t>
      </w:r>
      <w:r w:rsidR="004900BA">
        <w:rPr>
          <w:rFonts w:cs="Calibri"/>
          <w:i/>
          <w:iCs/>
          <w:sz w:val="22"/>
          <w:szCs w:val="22"/>
        </w:rPr>
        <w:t xml:space="preserve"> with the addition of additional testing if a section of duct fails to reach the designated pressure classification. </w:t>
      </w:r>
      <w:r w:rsidR="006C7365">
        <w:rPr>
          <w:rFonts w:cs="Calibri"/>
          <w:i/>
          <w:iCs/>
          <w:sz w:val="22"/>
          <w:szCs w:val="22"/>
        </w:rPr>
        <w:t xml:space="preserve">The duct </w:t>
      </w:r>
      <w:proofErr w:type="spellStart"/>
      <w:r w:rsidR="006C7365">
        <w:rPr>
          <w:rFonts w:cs="Calibri"/>
          <w:i/>
          <w:iCs/>
          <w:sz w:val="22"/>
          <w:szCs w:val="22"/>
        </w:rPr>
        <w:t>duct</w:t>
      </w:r>
      <w:proofErr w:type="spellEnd"/>
      <w:r w:rsidR="006C7365">
        <w:rPr>
          <w:rFonts w:cs="Calibri"/>
          <w:i/>
          <w:iCs/>
          <w:sz w:val="22"/>
          <w:szCs w:val="22"/>
        </w:rPr>
        <w:t xml:space="preserve"> schedules should be used to designate which systems should be tested and the leakage class to be used as the basis for testing. </w:t>
      </w:r>
      <w:bookmarkStart w:id="0" w:name="_GoBack"/>
      <w:bookmarkEnd w:id="0"/>
      <w:r>
        <w:rPr>
          <w:rFonts w:cs="Calibri"/>
          <w:i/>
          <w:iCs/>
          <w:sz w:val="22"/>
          <w:szCs w:val="22"/>
        </w:rPr>
        <w:t xml:space="preserve">There are some vocal groups that continue to insist that leakage testing is unnecessary. Most studies disagree. Spiral duct systems have a long history of superior low-leakage performance and most properly installed spiral duct systems will have no difficulty in exceeding this standard.  We encourage not only it's inclusion in this specification, but also its inclusion in the other ductwork specification sections for this project. </w:t>
      </w:r>
      <w:r>
        <w:rPr>
          <w:i/>
          <w:iCs/>
          <w:sz w:val="22"/>
          <w:szCs w:val="22"/>
        </w:rPr>
        <w:t xml:space="preserve">There are local and institutional codes that exceed the leakage testing requirements of ASHRAE Standard 90.1-2010.  In such case we encourage the author to replace this section with one describing the required standard. </w:t>
      </w:r>
    </w:p>
    <w:p w:rsidR="00EB4567" w:rsidRDefault="00EB4567" w:rsidP="00EB4567">
      <w:pPr>
        <w:pStyle w:val="Default"/>
      </w:pPr>
    </w:p>
    <w:p w:rsidR="00B864D6" w:rsidRDefault="00B864D6" w:rsidP="00EB4567">
      <w:pPr>
        <w:pStyle w:val="Default"/>
        <w:rPr>
          <w:b/>
          <w:sz w:val="22"/>
          <w:szCs w:val="22"/>
          <w:u w:val="single"/>
        </w:rPr>
      </w:pPr>
    </w:p>
    <w:p w:rsidR="00B864D6" w:rsidRDefault="00B864D6" w:rsidP="00EB4567">
      <w:pPr>
        <w:pStyle w:val="Default"/>
        <w:rPr>
          <w:b/>
          <w:sz w:val="22"/>
          <w:szCs w:val="22"/>
          <w:u w:val="single"/>
        </w:rPr>
      </w:pPr>
    </w:p>
    <w:p w:rsidR="00B864D6" w:rsidRDefault="00B864D6" w:rsidP="00EB4567">
      <w:pPr>
        <w:pStyle w:val="Default"/>
        <w:rPr>
          <w:b/>
          <w:sz w:val="22"/>
          <w:szCs w:val="22"/>
          <w:u w:val="single"/>
        </w:rPr>
      </w:pPr>
    </w:p>
    <w:p w:rsidR="00B864D6" w:rsidRDefault="00B864D6" w:rsidP="00EB4567">
      <w:pPr>
        <w:pStyle w:val="Default"/>
        <w:rPr>
          <w:b/>
          <w:sz w:val="22"/>
          <w:szCs w:val="22"/>
          <w:u w:val="single"/>
        </w:rPr>
      </w:pPr>
    </w:p>
    <w:p w:rsidR="00EB4567" w:rsidRPr="00EB4567" w:rsidRDefault="00EB4567" w:rsidP="00EB4567">
      <w:pPr>
        <w:pStyle w:val="Default"/>
        <w:rPr>
          <w:b/>
          <w:sz w:val="22"/>
          <w:szCs w:val="22"/>
          <w:u w:val="single"/>
        </w:rPr>
      </w:pPr>
      <w:r w:rsidRPr="00EB4567">
        <w:rPr>
          <w:b/>
          <w:sz w:val="22"/>
          <w:szCs w:val="22"/>
          <w:u w:val="single"/>
        </w:rPr>
        <w:t>Section 4 Duct Schedules</w:t>
      </w:r>
    </w:p>
    <w:p w:rsidR="00EB4567" w:rsidRDefault="00EB4567" w:rsidP="00EB4567">
      <w:pPr>
        <w:pStyle w:val="Default"/>
        <w:rPr>
          <w:i/>
          <w:sz w:val="22"/>
          <w:szCs w:val="22"/>
        </w:rPr>
      </w:pPr>
      <w:r w:rsidRPr="00EB4567">
        <w:rPr>
          <w:sz w:val="22"/>
          <w:szCs w:val="22"/>
        </w:rPr>
        <w:tab/>
      </w:r>
      <w:r>
        <w:rPr>
          <w:i/>
          <w:sz w:val="22"/>
          <w:szCs w:val="22"/>
        </w:rPr>
        <w:t>This section provides some suggested requireme</w:t>
      </w:r>
      <w:r w:rsidR="00B864D6">
        <w:rPr>
          <w:i/>
          <w:sz w:val="22"/>
          <w:szCs w:val="22"/>
        </w:rPr>
        <w:t xml:space="preserve">nts for different system types with a maximum amount of flexibility. </w:t>
      </w:r>
      <w:r w:rsidR="00C401C6">
        <w:rPr>
          <w:i/>
          <w:sz w:val="22"/>
          <w:szCs w:val="22"/>
        </w:rPr>
        <w:t xml:space="preserve">Delete references to nonexistent systems to avoid confusion. </w:t>
      </w:r>
    </w:p>
    <w:p w:rsidR="00B864D6" w:rsidRDefault="00B864D6" w:rsidP="00B864D6">
      <w:pPr>
        <w:pStyle w:val="Default"/>
        <w:numPr>
          <w:ilvl w:val="0"/>
          <w:numId w:val="11"/>
        </w:numPr>
        <w:rPr>
          <w:i/>
          <w:sz w:val="22"/>
          <w:szCs w:val="22"/>
        </w:rPr>
      </w:pPr>
      <w:r>
        <w:rPr>
          <w:i/>
          <w:sz w:val="22"/>
          <w:szCs w:val="22"/>
        </w:rPr>
        <w:t xml:space="preserve">Systems – This can be a listing by AHU, fan or a generic description. The more specific you are the better the result. </w:t>
      </w:r>
    </w:p>
    <w:p w:rsidR="00B864D6" w:rsidRDefault="00B864D6" w:rsidP="00B864D6">
      <w:pPr>
        <w:pStyle w:val="Default"/>
        <w:numPr>
          <w:ilvl w:val="0"/>
          <w:numId w:val="11"/>
        </w:numPr>
        <w:rPr>
          <w:i/>
          <w:sz w:val="22"/>
          <w:szCs w:val="22"/>
        </w:rPr>
      </w:pPr>
      <w:r>
        <w:rPr>
          <w:i/>
          <w:sz w:val="22"/>
          <w:szCs w:val="22"/>
        </w:rPr>
        <w:t xml:space="preserve">Material – chose from materials as specified in Section 2.2.A </w:t>
      </w:r>
    </w:p>
    <w:p w:rsidR="00B864D6" w:rsidRDefault="00B864D6" w:rsidP="00B864D6">
      <w:pPr>
        <w:pStyle w:val="Default"/>
        <w:numPr>
          <w:ilvl w:val="0"/>
          <w:numId w:val="11"/>
        </w:numPr>
        <w:rPr>
          <w:i/>
          <w:sz w:val="22"/>
          <w:szCs w:val="22"/>
        </w:rPr>
      </w:pPr>
      <w:r>
        <w:rPr>
          <w:i/>
          <w:sz w:val="22"/>
          <w:szCs w:val="22"/>
        </w:rPr>
        <w:t>Pressure Class – Please limit this to the maximum pressure anticipated by the system. If no pressure class is stated SMACNA defaults to 1” WG. This</w:t>
      </w:r>
      <w:r w:rsidR="00725E72">
        <w:rPr>
          <w:i/>
          <w:sz w:val="22"/>
          <w:szCs w:val="22"/>
        </w:rPr>
        <w:t xml:space="preserve"> specification does not anticipate the use of round spiral for greater than -10” WG or oval spiral for greater than -2” WG. Please consult your local ESM representative for additional assistance for round and oval spiral applications exceeding these limits.  </w:t>
      </w:r>
    </w:p>
    <w:p w:rsidR="00725E72" w:rsidRDefault="00B864D6" w:rsidP="00B864D6">
      <w:pPr>
        <w:pStyle w:val="Default"/>
        <w:numPr>
          <w:ilvl w:val="0"/>
          <w:numId w:val="11"/>
        </w:numPr>
        <w:rPr>
          <w:i/>
          <w:sz w:val="22"/>
          <w:szCs w:val="22"/>
        </w:rPr>
      </w:pPr>
      <w:r>
        <w:rPr>
          <w:i/>
          <w:sz w:val="22"/>
          <w:szCs w:val="22"/>
        </w:rPr>
        <w:t>Leakage Test Rate: We recommend a test rate of 4 for systems 3” WG and less and 2 for systems greater than 3”. This is the most stringent classifi</w:t>
      </w:r>
      <w:r w:rsidR="00396CD7">
        <w:rPr>
          <w:i/>
          <w:sz w:val="22"/>
          <w:szCs w:val="22"/>
        </w:rPr>
        <w:t>cation anticipated by the SMACA</w:t>
      </w:r>
      <w:r>
        <w:rPr>
          <w:i/>
          <w:sz w:val="22"/>
          <w:szCs w:val="22"/>
        </w:rPr>
        <w:t xml:space="preserve"> Duct Leakage Test Manual. We also recommend that the same criteria be applied to other duct constructions, such as rectangle to maximize system performance.</w:t>
      </w:r>
    </w:p>
    <w:p w:rsidR="00725E72" w:rsidRDefault="00725E72" w:rsidP="00B864D6">
      <w:pPr>
        <w:pStyle w:val="Default"/>
        <w:numPr>
          <w:ilvl w:val="0"/>
          <w:numId w:val="11"/>
        </w:numPr>
        <w:rPr>
          <w:i/>
          <w:sz w:val="22"/>
          <w:szCs w:val="22"/>
        </w:rPr>
      </w:pPr>
      <w:r>
        <w:rPr>
          <w:i/>
          <w:sz w:val="22"/>
          <w:szCs w:val="22"/>
        </w:rPr>
        <w:t>Single or Dual Wall</w:t>
      </w:r>
      <w:r w:rsidR="0037346F">
        <w:rPr>
          <w:i/>
          <w:sz w:val="22"/>
          <w:szCs w:val="22"/>
        </w:rPr>
        <w:t xml:space="preserve"> – The choice of insulation extent can have a large impact on project cost. You will want to consider the potential for heat gain, condensation, and sound transmission when determining whether or not to internally insulate the duct. For example, supply duct in a ceiling plenum return can be externally wrapped, but you may wish to provide dual wall duct for a fixed distance downstream of the air handler for sound attenuation. Ducts in “conditioned” areas, such as gyms, may require thermal insulation if the unit cycled on only when the space is in use, creating the possibility of condensation. </w:t>
      </w:r>
    </w:p>
    <w:p w:rsidR="00B864D6" w:rsidRDefault="00725E72" w:rsidP="00725E72">
      <w:pPr>
        <w:pStyle w:val="Default"/>
        <w:numPr>
          <w:ilvl w:val="3"/>
          <w:numId w:val="11"/>
        </w:numPr>
        <w:rPr>
          <w:i/>
          <w:sz w:val="22"/>
          <w:szCs w:val="22"/>
        </w:rPr>
      </w:pPr>
      <w:r>
        <w:rPr>
          <w:i/>
          <w:sz w:val="22"/>
          <w:szCs w:val="22"/>
        </w:rPr>
        <w:t>Chose insulation materials as specified in Section 2.2.C</w:t>
      </w:r>
    </w:p>
    <w:p w:rsidR="00725E72" w:rsidRDefault="00725E72" w:rsidP="00725E72">
      <w:pPr>
        <w:pStyle w:val="Default"/>
        <w:numPr>
          <w:ilvl w:val="3"/>
          <w:numId w:val="11"/>
        </w:numPr>
        <w:rPr>
          <w:i/>
          <w:sz w:val="22"/>
          <w:szCs w:val="22"/>
        </w:rPr>
      </w:pPr>
      <w:r>
        <w:rPr>
          <w:i/>
          <w:sz w:val="22"/>
          <w:szCs w:val="22"/>
        </w:rPr>
        <w:t xml:space="preserve">1” thick insulation is nominal R4 and 2” insulation is nominal R8. </w:t>
      </w:r>
    </w:p>
    <w:p w:rsidR="00725E72" w:rsidRPr="00EB4567" w:rsidRDefault="000D0CEB" w:rsidP="00725E72">
      <w:pPr>
        <w:pStyle w:val="Default"/>
        <w:numPr>
          <w:ilvl w:val="3"/>
          <w:numId w:val="11"/>
        </w:numPr>
        <w:rPr>
          <w:i/>
          <w:sz w:val="22"/>
          <w:szCs w:val="22"/>
        </w:rPr>
      </w:pPr>
      <w:r>
        <w:rPr>
          <w:i/>
          <w:sz w:val="22"/>
          <w:szCs w:val="22"/>
        </w:rPr>
        <w:t>You have two choices for type of internal insulation “</w:t>
      </w:r>
      <w:r w:rsidR="00725E72">
        <w:rPr>
          <w:i/>
          <w:sz w:val="22"/>
          <w:szCs w:val="22"/>
        </w:rPr>
        <w:t>Acoustic</w:t>
      </w:r>
      <w:r>
        <w:rPr>
          <w:i/>
          <w:sz w:val="22"/>
          <w:szCs w:val="22"/>
        </w:rPr>
        <w:t>”</w:t>
      </w:r>
      <w:r w:rsidR="00725E72">
        <w:rPr>
          <w:i/>
          <w:sz w:val="22"/>
          <w:szCs w:val="22"/>
        </w:rPr>
        <w:t xml:space="preserve"> if sound attenuation is required, </w:t>
      </w:r>
      <w:r>
        <w:rPr>
          <w:i/>
          <w:sz w:val="22"/>
          <w:szCs w:val="22"/>
        </w:rPr>
        <w:t>“T</w:t>
      </w:r>
      <w:r w:rsidR="00725E72">
        <w:rPr>
          <w:i/>
          <w:sz w:val="22"/>
          <w:szCs w:val="22"/>
        </w:rPr>
        <w:t>hermal</w:t>
      </w:r>
      <w:r>
        <w:rPr>
          <w:i/>
          <w:sz w:val="22"/>
          <w:szCs w:val="22"/>
        </w:rPr>
        <w:t>”</w:t>
      </w:r>
      <w:r w:rsidR="00725E72">
        <w:rPr>
          <w:i/>
          <w:sz w:val="22"/>
          <w:szCs w:val="22"/>
        </w:rPr>
        <w:t xml:space="preserve"> if attenuation is not required or if there is a possibility of direct contact with water. </w:t>
      </w:r>
    </w:p>
    <w:sectPr w:rsidR="00725E72" w:rsidRPr="00EB4567" w:rsidSect="00FA5FC2">
      <w:headerReference w:type="default" r:id="rId9"/>
      <w:footerReference w:type="default" r:id="rId10"/>
      <w:pgSz w:w="12240" w:h="15840" w:code="1"/>
      <w:pgMar w:top="1171" w:right="1108" w:bottom="672" w:left="121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ACF" w:rsidRDefault="00066ACF" w:rsidP="00113A49">
      <w:pPr>
        <w:spacing w:after="0" w:line="240" w:lineRule="auto"/>
      </w:pPr>
      <w:r>
        <w:separator/>
      </w:r>
    </w:p>
  </w:endnote>
  <w:endnote w:type="continuationSeparator" w:id="0">
    <w:p w:rsidR="00066ACF" w:rsidRDefault="00066ACF" w:rsidP="0011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A49" w:rsidRDefault="00113A49">
    <w:pPr>
      <w:pStyle w:val="Footer"/>
    </w:pPr>
    <w:r>
      <w:t xml:space="preserve">Page | </w:t>
    </w:r>
    <w:r>
      <w:fldChar w:fldCharType="begin"/>
    </w:r>
    <w:r>
      <w:instrText xml:space="preserve"> PAGE   \* MERGEFORMAT </w:instrText>
    </w:r>
    <w:r>
      <w:fldChar w:fldCharType="separate"/>
    </w:r>
    <w:r w:rsidR="006C736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ACF" w:rsidRDefault="00066ACF" w:rsidP="00113A49">
      <w:pPr>
        <w:spacing w:after="0" w:line="240" w:lineRule="auto"/>
      </w:pPr>
      <w:r>
        <w:separator/>
      </w:r>
    </w:p>
  </w:footnote>
  <w:footnote w:type="continuationSeparator" w:id="0">
    <w:p w:rsidR="00066ACF" w:rsidRDefault="00066ACF" w:rsidP="00113A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E8D" w:rsidRPr="00B95E8D" w:rsidRDefault="00B95E8D" w:rsidP="00B95E8D">
    <w:pPr>
      <w:tabs>
        <w:tab w:val="center" w:pos="4680"/>
      </w:tabs>
      <w:spacing w:after="0" w:line="240" w:lineRule="auto"/>
      <w:rPr>
        <w:rFonts w:ascii="Calibri" w:eastAsia="Calibri" w:hAnsi="Calibri"/>
      </w:rPr>
    </w:pPr>
    <w:r w:rsidRPr="00B95E8D">
      <w:rPr>
        <w:rFonts w:ascii="Calibri" w:eastAsia="Calibri" w:hAnsi="Calibri"/>
      </w:rPr>
      <w:t>Eastern Sheet Metal</w:t>
    </w:r>
    <w:r w:rsidRPr="00B95E8D">
      <w:rPr>
        <w:rFonts w:ascii="Calibri" w:eastAsia="Calibri" w:hAnsi="Calibri"/>
      </w:rPr>
      <w:tab/>
    </w:r>
    <w:r>
      <w:rPr>
        <w:rFonts w:ascii="Calibri" w:eastAsia="Calibri" w:hAnsi="Calibri"/>
      </w:rPr>
      <w:t>Specification Considerations</w:t>
    </w:r>
    <w:r w:rsidRPr="00B95E8D">
      <w:rPr>
        <w:rFonts w:ascii="Calibri" w:eastAsia="Calibri" w:hAnsi="Calibri"/>
      </w:rPr>
      <w:tab/>
    </w:r>
    <w:r w:rsidRPr="00B95E8D">
      <w:rPr>
        <w:rFonts w:ascii="Calibri" w:eastAsia="Calibri" w:hAnsi="Calibri"/>
      </w:rPr>
      <w:tab/>
    </w:r>
    <w:r w:rsidRPr="00B95E8D">
      <w:rPr>
        <w:rFonts w:ascii="Calibri" w:eastAsia="Calibri" w:hAnsi="Calibri"/>
      </w:rPr>
      <w:tab/>
    </w:r>
    <w:r w:rsidRPr="00B95E8D">
      <w:rPr>
        <w:rFonts w:ascii="Calibri" w:eastAsia="Calibri" w:hAnsi="Calibri"/>
      </w:rPr>
      <w:tab/>
      <w:t xml:space="preserve">Rev </w:t>
    </w:r>
    <w:r w:rsidR="004D0FCC">
      <w:rPr>
        <w:rFonts w:ascii="Calibri" w:eastAsia="Calibri" w:hAnsi="Calibri"/>
      </w:rPr>
      <w:t>2014/11</w:t>
    </w:r>
  </w:p>
  <w:p w:rsidR="00B95E8D" w:rsidRPr="00B95E8D" w:rsidRDefault="00B95E8D" w:rsidP="00B95E8D">
    <w:pPr>
      <w:tabs>
        <w:tab w:val="center" w:pos="4680"/>
        <w:tab w:val="right" w:pos="9360"/>
      </w:tabs>
      <w:spacing w:after="0" w:line="240" w:lineRule="auto"/>
      <w:jc w:val="center"/>
      <w:rPr>
        <w:rFonts w:ascii="Calibri" w:eastAsia="Calibri" w:hAnsi="Calibri"/>
      </w:rPr>
    </w:pPr>
  </w:p>
  <w:p w:rsidR="00113A49" w:rsidRDefault="00113A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69E4D"/>
    <w:multiLevelType w:val="hybridMultilevel"/>
    <w:tmpl w:val="7FD7621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92C78C50"/>
    <w:multiLevelType w:val="hybridMultilevel"/>
    <w:tmpl w:val="D76DB92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CF817F8B"/>
    <w:multiLevelType w:val="hybridMultilevel"/>
    <w:tmpl w:val="C36480F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DF422E72"/>
    <w:multiLevelType w:val="hybridMultilevel"/>
    <w:tmpl w:val="2179C1E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E9CE4E46"/>
    <w:multiLevelType w:val="hybridMultilevel"/>
    <w:tmpl w:val="CCB401F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4DF3EFC"/>
    <w:multiLevelType w:val="hybridMultilevel"/>
    <w:tmpl w:val="7296C88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13529EE2"/>
    <w:multiLevelType w:val="hybridMultilevel"/>
    <w:tmpl w:val="69CA0F2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1C0B0097"/>
    <w:multiLevelType w:val="hybridMultilevel"/>
    <w:tmpl w:val="6AD4BFF2"/>
    <w:lvl w:ilvl="0" w:tplc="02BC2980">
      <w:start w:val="1"/>
      <w:numFmt w:val="upp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27E65953"/>
    <w:multiLevelType w:val="hybridMultilevel"/>
    <w:tmpl w:val="A62E825F"/>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346E26BE"/>
    <w:multiLevelType w:val="hybridMultilevel"/>
    <w:tmpl w:val="CD40BCD2"/>
    <w:lvl w:ilvl="0" w:tplc="1072606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6BF11D04"/>
    <w:multiLevelType w:val="hybridMultilevel"/>
    <w:tmpl w:val="61470363"/>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79A9BA3F"/>
    <w:multiLevelType w:val="hybridMultilevel"/>
    <w:tmpl w:val="029D635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6"/>
  </w:num>
  <w:num w:numId="3">
    <w:abstractNumId w:val="10"/>
  </w:num>
  <w:num w:numId="4">
    <w:abstractNumId w:val="3"/>
  </w:num>
  <w:num w:numId="5">
    <w:abstractNumId w:val="11"/>
  </w:num>
  <w:num w:numId="6">
    <w:abstractNumId w:val="2"/>
  </w:num>
  <w:num w:numId="7">
    <w:abstractNumId w:val="5"/>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D9E"/>
    <w:rsid w:val="00013432"/>
    <w:rsid w:val="00015370"/>
    <w:rsid w:val="00066ACF"/>
    <w:rsid w:val="000A0661"/>
    <w:rsid w:val="000A45B1"/>
    <w:rsid w:val="000D0CEB"/>
    <w:rsid w:val="00113A49"/>
    <w:rsid w:val="001324A0"/>
    <w:rsid w:val="001617DE"/>
    <w:rsid w:val="0023421E"/>
    <w:rsid w:val="0024222D"/>
    <w:rsid w:val="0026061A"/>
    <w:rsid w:val="002C76CC"/>
    <w:rsid w:val="0037346F"/>
    <w:rsid w:val="00396CD7"/>
    <w:rsid w:val="00411F27"/>
    <w:rsid w:val="004900BA"/>
    <w:rsid w:val="004D0FCC"/>
    <w:rsid w:val="00513D4C"/>
    <w:rsid w:val="005424C2"/>
    <w:rsid w:val="006C7365"/>
    <w:rsid w:val="00725E72"/>
    <w:rsid w:val="00800D9E"/>
    <w:rsid w:val="00A81459"/>
    <w:rsid w:val="00A909A6"/>
    <w:rsid w:val="00A940F5"/>
    <w:rsid w:val="00B864D6"/>
    <w:rsid w:val="00B95E8D"/>
    <w:rsid w:val="00C10558"/>
    <w:rsid w:val="00C401C6"/>
    <w:rsid w:val="00C4031C"/>
    <w:rsid w:val="00C45F00"/>
    <w:rsid w:val="00C551E4"/>
    <w:rsid w:val="00DC1786"/>
    <w:rsid w:val="00EA687D"/>
    <w:rsid w:val="00EB4567"/>
    <w:rsid w:val="00FA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Calibri" w:hAnsi="Calibri" w:cs="Calibri"/>
      <w:color w:val="000000"/>
      <w:sz w:val="24"/>
      <w:szCs w:val="24"/>
    </w:rPr>
  </w:style>
  <w:style w:type="paragraph" w:customStyle="1" w:styleId="CM1">
    <w:name w:val="CM1"/>
    <w:basedOn w:val="Default"/>
    <w:next w:val="Default"/>
    <w:uiPriority w:val="99"/>
    <w:rPr>
      <w:rFonts w:cs="Times New Roman"/>
      <w:color w:val="auto"/>
    </w:rPr>
  </w:style>
  <w:style w:type="paragraph" w:customStyle="1" w:styleId="CM14">
    <w:name w:val="CM14"/>
    <w:basedOn w:val="Default"/>
    <w:next w:val="Default"/>
    <w:uiPriority w:val="99"/>
    <w:rPr>
      <w:rFonts w:cs="Times New Roman"/>
      <w:color w:val="auto"/>
    </w:rPr>
  </w:style>
  <w:style w:type="paragraph" w:customStyle="1" w:styleId="CM2">
    <w:name w:val="CM2"/>
    <w:basedOn w:val="Default"/>
    <w:next w:val="Default"/>
    <w:uiPriority w:val="99"/>
    <w:pPr>
      <w:spacing w:line="311" w:lineRule="atLeast"/>
    </w:pPr>
    <w:rPr>
      <w:rFonts w:cs="Times New Roman"/>
      <w:color w:val="auto"/>
    </w:rPr>
  </w:style>
  <w:style w:type="paragraph" w:customStyle="1" w:styleId="CM15">
    <w:name w:val="CM15"/>
    <w:basedOn w:val="Default"/>
    <w:next w:val="Default"/>
    <w:uiPriority w:val="99"/>
    <w:rPr>
      <w:rFonts w:cs="Times New Roman"/>
      <w:color w:val="auto"/>
    </w:rPr>
  </w:style>
  <w:style w:type="paragraph" w:customStyle="1" w:styleId="CM16">
    <w:name w:val="CM16"/>
    <w:basedOn w:val="Default"/>
    <w:next w:val="Default"/>
    <w:uiPriority w:val="99"/>
    <w:rPr>
      <w:rFonts w:cs="Times New Roman"/>
      <w:color w:val="auto"/>
    </w:rPr>
  </w:style>
  <w:style w:type="paragraph" w:customStyle="1" w:styleId="CM3">
    <w:name w:val="CM3"/>
    <w:basedOn w:val="Default"/>
    <w:next w:val="Default"/>
    <w:uiPriority w:val="99"/>
    <w:pPr>
      <w:spacing w:line="311" w:lineRule="atLeast"/>
    </w:pPr>
    <w:rPr>
      <w:rFonts w:cs="Times New Roman"/>
      <w:color w:val="auto"/>
    </w:rPr>
  </w:style>
  <w:style w:type="paragraph" w:customStyle="1" w:styleId="CM4">
    <w:name w:val="CM4"/>
    <w:basedOn w:val="Default"/>
    <w:next w:val="Default"/>
    <w:uiPriority w:val="99"/>
    <w:pPr>
      <w:spacing w:line="308" w:lineRule="atLeast"/>
    </w:pPr>
    <w:rPr>
      <w:rFonts w:cs="Times New Roman"/>
      <w:color w:val="auto"/>
    </w:rPr>
  </w:style>
  <w:style w:type="paragraph" w:customStyle="1" w:styleId="CM5">
    <w:name w:val="CM5"/>
    <w:basedOn w:val="Default"/>
    <w:next w:val="Default"/>
    <w:uiPriority w:val="99"/>
    <w:pPr>
      <w:spacing w:line="311" w:lineRule="atLeast"/>
    </w:pPr>
    <w:rPr>
      <w:rFonts w:cs="Times New Roman"/>
      <w:color w:val="auto"/>
    </w:rPr>
  </w:style>
  <w:style w:type="paragraph" w:customStyle="1" w:styleId="CM7">
    <w:name w:val="CM7"/>
    <w:basedOn w:val="Default"/>
    <w:next w:val="Default"/>
    <w:uiPriority w:val="99"/>
    <w:rPr>
      <w:rFonts w:cs="Times New Roman"/>
      <w:color w:val="auto"/>
    </w:rPr>
  </w:style>
  <w:style w:type="paragraph" w:customStyle="1" w:styleId="CM10">
    <w:name w:val="CM10"/>
    <w:basedOn w:val="Default"/>
    <w:next w:val="Default"/>
    <w:uiPriority w:val="99"/>
    <w:pPr>
      <w:spacing w:line="308" w:lineRule="atLeast"/>
    </w:pPr>
    <w:rPr>
      <w:rFonts w:cs="Times New Roman"/>
      <w:color w:val="auto"/>
    </w:rPr>
  </w:style>
  <w:style w:type="paragraph" w:customStyle="1" w:styleId="CM12">
    <w:name w:val="CM12"/>
    <w:basedOn w:val="Default"/>
    <w:next w:val="Default"/>
    <w:uiPriority w:val="99"/>
    <w:rPr>
      <w:rFonts w:cs="Times New Roman"/>
      <w:color w:val="auto"/>
    </w:rPr>
  </w:style>
  <w:style w:type="paragraph" w:styleId="Header">
    <w:name w:val="header"/>
    <w:basedOn w:val="Normal"/>
    <w:link w:val="HeaderChar"/>
    <w:uiPriority w:val="99"/>
    <w:unhideWhenUsed/>
    <w:rsid w:val="00113A49"/>
    <w:pPr>
      <w:tabs>
        <w:tab w:val="center" w:pos="4680"/>
        <w:tab w:val="right" w:pos="9360"/>
      </w:tabs>
    </w:pPr>
  </w:style>
  <w:style w:type="character" w:customStyle="1" w:styleId="HeaderChar">
    <w:name w:val="Header Char"/>
    <w:basedOn w:val="DefaultParagraphFont"/>
    <w:link w:val="Header"/>
    <w:uiPriority w:val="99"/>
    <w:locked/>
    <w:rsid w:val="00113A49"/>
    <w:rPr>
      <w:rFonts w:cs="Times New Roman"/>
    </w:rPr>
  </w:style>
  <w:style w:type="paragraph" w:styleId="Footer">
    <w:name w:val="footer"/>
    <w:basedOn w:val="Normal"/>
    <w:link w:val="FooterChar"/>
    <w:uiPriority w:val="99"/>
    <w:unhideWhenUsed/>
    <w:rsid w:val="00113A49"/>
    <w:pPr>
      <w:tabs>
        <w:tab w:val="center" w:pos="4680"/>
        <w:tab w:val="right" w:pos="9360"/>
      </w:tabs>
    </w:pPr>
  </w:style>
  <w:style w:type="character" w:customStyle="1" w:styleId="FooterChar">
    <w:name w:val="Footer Char"/>
    <w:basedOn w:val="DefaultParagraphFont"/>
    <w:link w:val="Footer"/>
    <w:uiPriority w:val="99"/>
    <w:locked/>
    <w:rsid w:val="00113A49"/>
    <w:rPr>
      <w:rFonts w:cs="Times New Roman"/>
    </w:rPr>
  </w:style>
  <w:style w:type="paragraph" w:styleId="BalloonText">
    <w:name w:val="Balloon Text"/>
    <w:basedOn w:val="Normal"/>
    <w:link w:val="BalloonTextChar"/>
    <w:uiPriority w:val="99"/>
    <w:semiHidden/>
    <w:unhideWhenUsed/>
    <w:rsid w:val="00113A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3A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Calibri" w:hAnsi="Calibri" w:cs="Calibri"/>
      <w:color w:val="000000"/>
      <w:sz w:val="24"/>
      <w:szCs w:val="24"/>
    </w:rPr>
  </w:style>
  <w:style w:type="paragraph" w:customStyle="1" w:styleId="CM1">
    <w:name w:val="CM1"/>
    <w:basedOn w:val="Default"/>
    <w:next w:val="Default"/>
    <w:uiPriority w:val="99"/>
    <w:rPr>
      <w:rFonts w:cs="Times New Roman"/>
      <w:color w:val="auto"/>
    </w:rPr>
  </w:style>
  <w:style w:type="paragraph" w:customStyle="1" w:styleId="CM14">
    <w:name w:val="CM14"/>
    <w:basedOn w:val="Default"/>
    <w:next w:val="Default"/>
    <w:uiPriority w:val="99"/>
    <w:rPr>
      <w:rFonts w:cs="Times New Roman"/>
      <w:color w:val="auto"/>
    </w:rPr>
  </w:style>
  <w:style w:type="paragraph" w:customStyle="1" w:styleId="CM2">
    <w:name w:val="CM2"/>
    <w:basedOn w:val="Default"/>
    <w:next w:val="Default"/>
    <w:uiPriority w:val="99"/>
    <w:pPr>
      <w:spacing w:line="311" w:lineRule="atLeast"/>
    </w:pPr>
    <w:rPr>
      <w:rFonts w:cs="Times New Roman"/>
      <w:color w:val="auto"/>
    </w:rPr>
  </w:style>
  <w:style w:type="paragraph" w:customStyle="1" w:styleId="CM15">
    <w:name w:val="CM15"/>
    <w:basedOn w:val="Default"/>
    <w:next w:val="Default"/>
    <w:uiPriority w:val="99"/>
    <w:rPr>
      <w:rFonts w:cs="Times New Roman"/>
      <w:color w:val="auto"/>
    </w:rPr>
  </w:style>
  <w:style w:type="paragraph" w:customStyle="1" w:styleId="CM16">
    <w:name w:val="CM16"/>
    <w:basedOn w:val="Default"/>
    <w:next w:val="Default"/>
    <w:uiPriority w:val="99"/>
    <w:rPr>
      <w:rFonts w:cs="Times New Roman"/>
      <w:color w:val="auto"/>
    </w:rPr>
  </w:style>
  <w:style w:type="paragraph" w:customStyle="1" w:styleId="CM3">
    <w:name w:val="CM3"/>
    <w:basedOn w:val="Default"/>
    <w:next w:val="Default"/>
    <w:uiPriority w:val="99"/>
    <w:pPr>
      <w:spacing w:line="311" w:lineRule="atLeast"/>
    </w:pPr>
    <w:rPr>
      <w:rFonts w:cs="Times New Roman"/>
      <w:color w:val="auto"/>
    </w:rPr>
  </w:style>
  <w:style w:type="paragraph" w:customStyle="1" w:styleId="CM4">
    <w:name w:val="CM4"/>
    <w:basedOn w:val="Default"/>
    <w:next w:val="Default"/>
    <w:uiPriority w:val="99"/>
    <w:pPr>
      <w:spacing w:line="308" w:lineRule="atLeast"/>
    </w:pPr>
    <w:rPr>
      <w:rFonts w:cs="Times New Roman"/>
      <w:color w:val="auto"/>
    </w:rPr>
  </w:style>
  <w:style w:type="paragraph" w:customStyle="1" w:styleId="CM5">
    <w:name w:val="CM5"/>
    <w:basedOn w:val="Default"/>
    <w:next w:val="Default"/>
    <w:uiPriority w:val="99"/>
    <w:pPr>
      <w:spacing w:line="311" w:lineRule="atLeast"/>
    </w:pPr>
    <w:rPr>
      <w:rFonts w:cs="Times New Roman"/>
      <w:color w:val="auto"/>
    </w:rPr>
  </w:style>
  <w:style w:type="paragraph" w:customStyle="1" w:styleId="CM7">
    <w:name w:val="CM7"/>
    <w:basedOn w:val="Default"/>
    <w:next w:val="Default"/>
    <w:uiPriority w:val="99"/>
    <w:rPr>
      <w:rFonts w:cs="Times New Roman"/>
      <w:color w:val="auto"/>
    </w:rPr>
  </w:style>
  <w:style w:type="paragraph" w:customStyle="1" w:styleId="CM10">
    <w:name w:val="CM10"/>
    <w:basedOn w:val="Default"/>
    <w:next w:val="Default"/>
    <w:uiPriority w:val="99"/>
    <w:pPr>
      <w:spacing w:line="308" w:lineRule="atLeast"/>
    </w:pPr>
    <w:rPr>
      <w:rFonts w:cs="Times New Roman"/>
      <w:color w:val="auto"/>
    </w:rPr>
  </w:style>
  <w:style w:type="paragraph" w:customStyle="1" w:styleId="CM12">
    <w:name w:val="CM12"/>
    <w:basedOn w:val="Default"/>
    <w:next w:val="Default"/>
    <w:uiPriority w:val="99"/>
    <w:rPr>
      <w:rFonts w:cs="Times New Roman"/>
      <w:color w:val="auto"/>
    </w:rPr>
  </w:style>
  <w:style w:type="paragraph" w:styleId="Header">
    <w:name w:val="header"/>
    <w:basedOn w:val="Normal"/>
    <w:link w:val="HeaderChar"/>
    <w:uiPriority w:val="99"/>
    <w:unhideWhenUsed/>
    <w:rsid w:val="00113A49"/>
    <w:pPr>
      <w:tabs>
        <w:tab w:val="center" w:pos="4680"/>
        <w:tab w:val="right" w:pos="9360"/>
      </w:tabs>
    </w:pPr>
  </w:style>
  <w:style w:type="character" w:customStyle="1" w:styleId="HeaderChar">
    <w:name w:val="Header Char"/>
    <w:basedOn w:val="DefaultParagraphFont"/>
    <w:link w:val="Header"/>
    <w:uiPriority w:val="99"/>
    <w:locked/>
    <w:rsid w:val="00113A49"/>
    <w:rPr>
      <w:rFonts w:cs="Times New Roman"/>
    </w:rPr>
  </w:style>
  <w:style w:type="paragraph" w:styleId="Footer">
    <w:name w:val="footer"/>
    <w:basedOn w:val="Normal"/>
    <w:link w:val="FooterChar"/>
    <w:uiPriority w:val="99"/>
    <w:unhideWhenUsed/>
    <w:rsid w:val="00113A49"/>
    <w:pPr>
      <w:tabs>
        <w:tab w:val="center" w:pos="4680"/>
        <w:tab w:val="right" w:pos="9360"/>
      </w:tabs>
    </w:pPr>
  </w:style>
  <w:style w:type="character" w:customStyle="1" w:styleId="FooterChar">
    <w:name w:val="Footer Char"/>
    <w:basedOn w:val="DefaultParagraphFont"/>
    <w:link w:val="Footer"/>
    <w:uiPriority w:val="99"/>
    <w:locked/>
    <w:rsid w:val="00113A49"/>
    <w:rPr>
      <w:rFonts w:cs="Times New Roman"/>
    </w:rPr>
  </w:style>
  <w:style w:type="paragraph" w:styleId="BalloonText">
    <w:name w:val="Balloon Text"/>
    <w:basedOn w:val="Normal"/>
    <w:link w:val="BalloonTextChar"/>
    <w:uiPriority w:val="99"/>
    <w:semiHidden/>
    <w:unhideWhenUsed/>
    <w:rsid w:val="00113A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3A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CE092-C6F1-4BE3-85D7-78D43C12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Tomkinsbp</Company>
  <LinksUpToDate>false</LinksUpToDate>
  <CharactersWithSpaces>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Streimer</dc:creator>
  <cp:lastModifiedBy>Stout Jr., Bill</cp:lastModifiedBy>
  <cp:revision>5</cp:revision>
  <cp:lastPrinted>2014-11-03T15:44:00Z</cp:lastPrinted>
  <dcterms:created xsi:type="dcterms:W3CDTF">2014-07-31T17:06:00Z</dcterms:created>
  <dcterms:modified xsi:type="dcterms:W3CDTF">2014-11-03T18:39:00Z</dcterms:modified>
</cp:coreProperties>
</file>